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519"/>
        <w:gridCol w:w="1296"/>
        <w:gridCol w:w="1128"/>
        <w:gridCol w:w="459"/>
        <w:gridCol w:w="1101"/>
        <w:gridCol w:w="749"/>
        <w:gridCol w:w="801"/>
        <w:gridCol w:w="1096"/>
        <w:gridCol w:w="614"/>
        <w:gridCol w:w="335"/>
        <w:gridCol w:w="756"/>
        <w:gridCol w:w="185"/>
        <w:gridCol w:w="629"/>
        <w:gridCol w:w="505"/>
        <w:gridCol w:w="256"/>
        <w:gridCol w:w="594"/>
        <w:gridCol w:w="851"/>
        <w:gridCol w:w="992"/>
        <w:gridCol w:w="850"/>
        <w:gridCol w:w="2268"/>
      </w:tblGrid>
      <w:tr w:rsidR="007B1040" w:rsidRPr="007B1040" w:rsidTr="007B1040">
        <w:trPr>
          <w:trHeight w:val="300"/>
        </w:trPr>
        <w:tc>
          <w:tcPr>
            <w:tcW w:w="519" w:type="dxa"/>
            <w:vMerge w:val="restart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S.N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 xml:space="preserve">Öğrencinin 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Başvurduğu Programın Adı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 xml:space="preserve">Geldiği Üniversite ve 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Puan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Yerleşme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70%</w:t>
            </w:r>
          </w:p>
        </w:tc>
        <w:tc>
          <w:tcPr>
            <w:tcW w:w="851" w:type="dxa"/>
            <w:vMerge w:val="restart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proofErr w:type="gramStart"/>
            <w:r w:rsidRPr="007B1040">
              <w:rPr>
                <w:b/>
                <w:bCs/>
                <w:sz w:val="18"/>
              </w:rPr>
              <w:t>G.N.O</w:t>
            </w:r>
            <w:proofErr w:type="gramEnd"/>
          </w:p>
        </w:tc>
        <w:tc>
          <w:tcPr>
            <w:tcW w:w="992" w:type="dxa"/>
            <w:vMerge w:val="restart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30%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Toplam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Alınma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vMerge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proofErr w:type="gramStart"/>
            <w:r w:rsidRPr="007B1040">
              <w:rPr>
                <w:b/>
                <w:bCs/>
                <w:sz w:val="18"/>
              </w:rPr>
              <w:t>Adı  Soyadı</w:t>
            </w:r>
            <w:proofErr w:type="gramEnd"/>
          </w:p>
        </w:tc>
        <w:tc>
          <w:tcPr>
            <w:tcW w:w="1560" w:type="dxa"/>
            <w:gridSpan w:val="2"/>
            <w:vMerge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Yüksekokulun Adı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Türü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Puanı</w:t>
            </w:r>
          </w:p>
        </w:tc>
        <w:tc>
          <w:tcPr>
            <w:tcW w:w="850" w:type="dxa"/>
            <w:gridSpan w:val="2"/>
            <w:vMerge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</w:p>
        </w:tc>
        <w:tc>
          <w:tcPr>
            <w:tcW w:w="851" w:type="dxa"/>
            <w:vMerge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</w:p>
        </w:tc>
        <w:tc>
          <w:tcPr>
            <w:tcW w:w="992" w:type="dxa"/>
            <w:vMerge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Puanı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Sırası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Medine Dağ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Bilgisayar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HRÜ. Birecik </w:t>
            </w:r>
            <w:proofErr w:type="spellStart"/>
            <w:proofErr w:type="gramStart"/>
            <w:r w:rsidRPr="007B1040">
              <w:rPr>
                <w:sz w:val="18"/>
              </w:rPr>
              <w:t>MYO.Ş</w:t>
            </w:r>
            <w:proofErr w:type="gramEnd"/>
            <w:r w:rsidRPr="007B1040">
              <w:rPr>
                <w:sz w:val="18"/>
              </w:rPr>
              <w:t>.Urfa</w:t>
            </w:r>
            <w:proofErr w:type="spellEnd"/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375,7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262,99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67,6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20,28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283,27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M.Ali</w:t>
            </w:r>
            <w:proofErr w:type="spellEnd"/>
            <w:r w:rsidRPr="007B1040">
              <w:rPr>
                <w:sz w:val="18"/>
              </w:rPr>
              <w:t xml:space="preserve"> DAYAN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Bilgisayar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HRÜ. Birecik </w:t>
            </w:r>
            <w:proofErr w:type="spellStart"/>
            <w:proofErr w:type="gramStart"/>
            <w:r w:rsidRPr="007B1040">
              <w:rPr>
                <w:sz w:val="18"/>
              </w:rPr>
              <w:t>MYO.Ş</w:t>
            </w:r>
            <w:proofErr w:type="gramEnd"/>
            <w:r w:rsidRPr="007B1040">
              <w:rPr>
                <w:sz w:val="18"/>
              </w:rPr>
              <w:t>.Urfa</w:t>
            </w:r>
            <w:proofErr w:type="spellEnd"/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371,6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260,12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73,13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21,939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282,059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Yedek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3.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Sidar</w:t>
            </w:r>
            <w:proofErr w:type="spellEnd"/>
            <w:r w:rsidRPr="007B1040">
              <w:rPr>
                <w:sz w:val="18"/>
              </w:rPr>
              <w:t xml:space="preserve"> KIRĞIL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Bilgisayar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HRÜ. Birecik </w:t>
            </w:r>
            <w:proofErr w:type="spellStart"/>
            <w:proofErr w:type="gramStart"/>
            <w:r w:rsidRPr="007B1040">
              <w:rPr>
                <w:sz w:val="18"/>
              </w:rPr>
              <w:t>MYO.Ş</w:t>
            </w:r>
            <w:proofErr w:type="gramEnd"/>
            <w:r w:rsidRPr="007B1040">
              <w:rPr>
                <w:sz w:val="18"/>
              </w:rPr>
              <w:t>.Urfa</w:t>
            </w:r>
            <w:proofErr w:type="spellEnd"/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346,95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242,865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82,38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24,714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267,579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Sıralamaya giremedi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4.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Hüseyin KUZU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Bilgisayar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Ondokuz</w:t>
            </w:r>
            <w:proofErr w:type="spellEnd"/>
            <w:r w:rsidRPr="007B1040">
              <w:rPr>
                <w:sz w:val="18"/>
              </w:rPr>
              <w:t xml:space="preserve"> Mayıs </w:t>
            </w:r>
            <w:proofErr w:type="spellStart"/>
            <w:r w:rsidRPr="007B1040">
              <w:rPr>
                <w:sz w:val="18"/>
              </w:rPr>
              <w:t>Ünv</w:t>
            </w:r>
            <w:proofErr w:type="spellEnd"/>
            <w:r w:rsidRPr="007B1040">
              <w:rPr>
                <w:sz w:val="18"/>
              </w:rPr>
              <w:t>. Vezirköprü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dışı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332,1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232,47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69,33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20,799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253,269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Sıralamaya giremedi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5.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İsmail SÜÖYLA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Bilgisayar ( </w:t>
            </w:r>
            <w:proofErr w:type="spellStart"/>
            <w:r w:rsidRPr="007B1040">
              <w:rPr>
                <w:sz w:val="18"/>
              </w:rPr>
              <w:t>i.ö</w:t>
            </w:r>
            <w:proofErr w:type="spellEnd"/>
            <w:r w:rsidRPr="007B1040">
              <w:rPr>
                <w:sz w:val="18"/>
              </w:rPr>
              <w:t>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HRÜ. Birecik </w:t>
            </w:r>
            <w:proofErr w:type="spellStart"/>
            <w:proofErr w:type="gramStart"/>
            <w:r w:rsidRPr="007B1040">
              <w:rPr>
                <w:sz w:val="18"/>
              </w:rPr>
              <w:t>MYO.Ş</w:t>
            </w:r>
            <w:proofErr w:type="gramEnd"/>
            <w:r w:rsidRPr="007B1040">
              <w:rPr>
                <w:sz w:val="18"/>
              </w:rPr>
              <w:t>.Urfa</w:t>
            </w:r>
            <w:proofErr w:type="spellEnd"/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214,16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149,912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78,87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23,661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173,573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6.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Dilber VEFA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Bilgisayar(İ.Ö.)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HRÜ. Birecik </w:t>
            </w:r>
            <w:proofErr w:type="spellStart"/>
            <w:proofErr w:type="gramStart"/>
            <w:r w:rsidRPr="007B1040">
              <w:rPr>
                <w:sz w:val="18"/>
              </w:rPr>
              <w:t>MYO.Ş</w:t>
            </w:r>
            <w:proofErr w:type="gramEnd"/>
            <w:r w:rsidRPr="007B1040">
              <w:rPr>
                <w:sz w:val="18"/>
              </w:rPr>
              <w:t>.Urfa</w:t>
            </w:r>
            <w:proofErr w:type="spellEnd"/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208,91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146,237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68,63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20,589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166,826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Yedek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7.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Sema KARADAĞ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Bilgisayar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Viranşehir Meslek Yüksekokulu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197,54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138,278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88,03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26,409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164,687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Sıralamaya giremedi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8.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Mehmet Ali SÖYLA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Bilgisayar  (İ:Ö)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HRÜ. Birecik </w:t>
            </w:r>
            <w:proofErr w:type="spellStart"/>
            <w:proofErr w:type="gramStart"/>
            <w:r w:rsidRPr="007B1040">
              <w:rPr>
                <w:sz w:val="18"/>
              </w:rPr>
              <w:t>MYO.Ş</w:t>
            </w:r>
            <w:proofErr w:type="gramEnd"/>
            <w:r w:rsidRPr="007B1040">
              <w:rPr>
                <w:sz w:val="18"/>
              </w:rPr>
              <w:t>.Urfa</w:t>
            </w:r>
            <w:proofErr w:type="spellEnd"/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191,12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133,784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72,3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21,69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155,474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Sıralamaya giremedi</w:t>
            </w:r>
          </w:p>
        </w:tc>
      </w:tr>
      <w:tr w:rsidR="007B1040" w:rsidRPr="007B1040" w:rsidTr="007B1040">
        <w:trPr>
          <w:trHeight w:val="299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9.</w:t>
            </w:r>
          </w:p>
        </w:tc>
        <w:tc>
          <w:tcPr>
            <w:tcW w:w="2424" w:type="dxa"/>
            <w:gridSpan w:val="2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Hasan Basri YURTSEVEN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Elektrik 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HRÜ.Birecik</w:t>
            </w:r>
            <w:proofErr w:type="spellEnd"/>
            <w:proofErr w:type="gramEnd"/>
            <w:r w:rsidRPr="007B1040">
              <w:rPr>
                <w:sz w:val="18"/>
              </w:rPr>
              <w:t xml:space="preserve"> MYO.</w:t>
            </w:r>
          </w:p>
        </w:tc>
        <w:tc>
          <w:tcPr>
            <w:tcW w:w="1276" w:type="dxa"/>
            <w:gridSpan w:val="3"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324,1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226,87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63,87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19,161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246,031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10.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M.Fırat</w:t>
            </w:r>
            <w:proofErr w:type="spellEnd"/>
            <w:r w:rsidRPr="007B1040">
              <w:rPr>
                <w:sz w:val="18"/>
              </w:rPr>
              <w:t xml:space="preserve"> MEKİK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Elekrtik</w:t>
            </w:r>
            <w:proofErr w:type="spellEnd"/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HRÜ.Birecik</w:t>
            </w:r>
            <w:proofErr w:type="spellEnd"/>
            <w:proofErr w:type="gramEnd"/>
            <w:r w:rsidRPr="007B1040">
              <w:rPr>
                <w:sz w:val="18"/>
              </w:rPr>
              <w:t xml:space="preserve">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313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219,1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68,12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20,436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239,536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11.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M.Fatih</w:t>
            </w:r>
            <w:proofErr w:type="spellEnd"/>
            <w:r w:rsidRPr="007B1040">
              <w:rPr>
                <w:sz w:val="18"/>
              </w:rPr>
              <w:t xml:space="preserve"> GÖRGÜN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Elekrtik</w:t>
            </w:r>
            <w:proofErr w:type="spellEnd"/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HRÜ.Birecik</w:t>
            </w:r>
            <w:proofErr w:type="spellEnd"/>
            <w:proofErr w:type="gramEnd"/>
            <w:r w:rsidRPr="007B1040">
              <w:rPr>
                <w:sz w:val="18"/>
              </w:rPr>
              <w:t xml:space="preserve">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310,05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217,035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67,32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20,196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237,231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Yedek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12.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Fevzi ABAMİN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Elekrtik</w:t>
            </w:r>
            <w:proofErr w:type="spellEnd"/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Viranşehir Meslek Yüksekokulu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134,51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94,157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62,53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18,759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112,916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Farklı program olduğu için </w:t>
            </w:r>
            <w:proofErr w:type="spellStart"/>
            <w:r w:rsidRPr="007B1040">
              <w:rPr>
                <w:sz w:val="18"/>
              </w:rPr>
              <w:t>red</w:t>
            </w:r>
            <w:proofErr w:type="spellEnd"/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13.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Cengiz YILMAZ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Elektrik (İ.Ö)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HRÜ.Birecik</w:t>
            </w:r>
            <w:proofErr w:type="spellEnd"/>
            <w:proofErr w:type="gramEnd"/>
            <w:r w:rsidRPr="007B1040">
              <w:rPr>
                <w:sz w:val="18"/>
              </w:rPr>
              <w:t xml:space="preserve">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326,1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228,27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65,9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19,77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248,04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9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14.</w:t>
            </w:r>
          </w:p>
        </w:tc>
        <w:tc>
          <w:tcPr>
            <w:tcW w:w="2424" w:type="dxa"/>
            <w:gridSpan w:val="2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Hasan Basri YURTSEVEN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Elektrik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HRÜ.Birecik</w:t>
            </w:r>
            <w:proofErr w:type="spellEnd"/>
            <w:proofErr w:type="gramEnd"/>
            <w:r w:rsidRPr="007B1040">
              <w:rPr>
                <w:sz w:val="18"/>
              </w:rPr>
              <w:t xml:space="preserve"> MYO.</w:t>
            </w:r>
          </w:p>
        </w:tc>
        <w:tc>
          <w:tcPr>
            <w:tcW w:w="1276" w:type="dxa"/>
            <w:gridSpan w:val="3"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324,1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226,87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63,87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19,161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246,031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15.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M.Fırat</w:t>
            </w:r>
            <w:proofErr w:type="spellEnd"/>
            <w:r w:rsidRPr="007B1040">
              <w:rPr>
                <w:sz w:val="18"/>
              </w:rPr>
              <w:t xml:space="preserve"> MEKİK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Elektrik (İ.Ö)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HRÜ.Birecik</w:t>
            </w:r>
            <w:proofErr w:type="spellEnd"/>
            <w:proofErr w:type="gramEnd"/>
            <w:r w:rsidRPr="007B1040">
              <w:rPr>
                <w:sz w:val="18"/>
              </w:rPr>
              <w:t xml:space="preserve">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313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219,1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68,12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20,436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239,536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Yedek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16.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M.Fatih</w:t>
            </w:r>
            <w:proofErr w:type="spellEnd"/>
            <w:r w:rsidRPr="007B1040">
              <w:rPr>
                <w:sz w:val="18"/>
              </w:rPr>
              <w:t xml:space="preserve"> GÖRGÜN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Elektrik (İ.Ö)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HRÜ.Birecik</w:t>
            </w:r>
            <w:proofErr w:type="spellEnd"/>
            <w:proofErr w:type="gramEnd"/>
            <w:r w:rsidRPr="007B1040">
              <w:rPr>
                <w:sz w:val="18"/>
              </w:rPr>
              <w:t xml:space="preserve">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içi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310,05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217,035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67,32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20,196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237,231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Yedek Aday</w:t>
            </w:r>
          </w:p>
        </w:tc>
      </w:tr>
      <w:tr w:rsidR="007B1040" w:rsidRPr="007B1040" w:rsidTr="007B1040">
        <w:trPr>
          <w:trHeight w:val="51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17.</w:t>
            </w:r>
          </w:p>
        </w:tc>
        <w:tc>
          <w:tcPr>
            <w:tcW w:w="2424" w:type="dxa"/>
            <w:gridSpan w:val="2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Hediye </w:t>
            </w:r>
            <w:proofErr w:type="spellStart"/>
            <w:r w:rsidRPr="007B1040">
              <w:rPr>
                <w:sz w:val="18"/>
              </w:rPr>
              <w:t>Berfu</w:t>
            </w:r>
            <w:proofErr w:type="spellEnd"/>
            <w:r w:rsidRPr="007B1040">
              <w:rPr>
                <w:sz w:val="18"/>
              </w:rPr>
              <w:t xml:space="preserve"> AĞIRMATLI (Kılıç)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Elektrik (İ.Ö.)</w:t>
            </w:r>
          </w:p>
        </w:tc>
        <w:tc>
          <w:tcPr>
            <w:tcW w:w="3260" w:type="dxa"/>
            <w:gridSpan w:val="4"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K.Maraş</w:t>
            </w:r>
            <w:proofErr w:type="spellEnd"/>
            <w:r w:rsidRPr="007B1040">
              <w:rPr>
                <w:sz w:val="18"/>
              </w:rPr>
              <w:t xml:space="preserve"> Sütçü İmam </w:t>
            </w:r>
            <w:proofErr w:type="spellStart"/>
            <w:r w:rsidRPr="007B1040">
              <w:rPr>
                <w:sz w:val="18"/>
              </w:rPr>
              <w:t>Ünv</w:t>
            </w:r>
            <w:proofErr w:type="spellEnd"/>
            <w:r w:rsidRPr="007B1040">
              <w:rPr>
                <w:sz w:val="18"/>
              </w:rPr>
              <w:t xml:space="preserve">. </w:t>
            </w:r>
            <w:proofErr w:type="spellStart"/>
            <w:proofErr w:type="gramStart"/>
            <w:r w:rsidRPr="007B1040">
              <w:rPr>
                <w:sz w:val="18"/>
              </w:rPr>
              <w:t>Tek.Bil</w:t>
            </w:r>
            <w:proofErr w:type="spellEnd"/>
            <w:proofErr w:type="gramEnd"/>
            <w:r w:rsidRPr="007B1040">
              <w:rPr>
                <w:sz w:val="18"/>
              </w:rPr>
              <w:t xml:space="preserve">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166,83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116,781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43,53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13,059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129,84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Hem 2013 girişli hem de not ortalaması 60 altı</w:t>
            </w:r>
          </w:p>
        </w:tc>
      </w:tr>
      <w:tr w:rsidR="007B1040" w:rsidRPr="007B1040" w:rsidTr="007B1040">
        <w:trPr>
          <w:trHeight w:val="273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18.</w:t>
            </w:r>
          </w:p>
        </w:tc>
        <w:tc>
          <w:tcPr>
            <w:tcW w:w="2424" w:type="dxa"/>
            <w:gridSpan w:val="2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Muhammed Mesut BAR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Elektrik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Erzincan Meslek Yüksek Okulu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meteb</w:t>
            </w:r>
            <w:proofErr w:type="spellEnd"/>
            <w:r w:rsidRPr="007B1040">
              <w:rPr>
                <w:sz w:val="18"/>
              </w:rPr>
              <w:t xml:space="preserve"> dışı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301,65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211,155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57,06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17,118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228,273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Hem 2015 girişli hem de not ortalaması 60 altı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19.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Büşra DANDAN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Gıda Teknolojisi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G.antep</w:t>
            </w:r>
            <w:proofErr w:type="spellEnd"/>
            <w:r w:rsidRPr="007B1040">
              <w:rPr>
                <w:sz w:val="18"/>
              </w:rPr>
              <w:t xml:space="preserve"> Nizip MYO:</w:t>
            </w:r>
          </w:p>
        </w:tc>
        <w:tc>
          <w:tcPr>
            <w:tcW w:w="1276" w:type="dxa"/>
            <w:gridSpan w:val="3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YGS-2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216,89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151,823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75,8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22,74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174,563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20.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İsmail OKUR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Gıda Tek. (İ.Ö)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HRÜ.Teknik</w:t>
            </w:r>
            <w:proofErr w:type="spellEnd"/>
            <w:proofErr w:type="gramEnd"/>
            <w:r w:rsidRPr="007B1040">
              <w:rPr>
                <w:sz w:val="18"/>
              </w:rPr>
              <w:t xml:space="preserve"> Bil.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YGS-2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202,14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141,498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86,81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26,043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167,541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21.</w:t>
            </w:r>
          </w:p>
        </w:tc>
        <w:tc>
          <w:tcPr>
            <w:tcW w:w="2424" w:type="dxa"/>
            <w:gridSpan w:val="2"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Şeyhmus</w:t>
            </w:r>
            <w:proofErr w:type="spellEnd"/>
            <w:r w:rsidRPr="007B1040">
              <w:rPr>
                <w:sz w:val="18"/>
              </w:rPr>
              <w:t xml:space="preserve"> ORMAN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İnşaat Tek.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Niğde Ömer </w:t>
            </w:r>
            <w:proofErr w:type="spellStart"/>
            <w:r w:rsidRPr="007B1040">
              <w:rPr>
                <w:sz w:val="18"/>
              </w:rPr>
              <w:t>Halisdemir</w:t>
            </w:r>
            <w:proofErr w:type="spellEnd"/>
            <w:r w:rsidRPr="007B1040">
              <w:rPr>
                <w:sz w:val="18"/>
              </w:rPr>
              <w:t xml:space="preserve"> </w:t>
            </w:r>
            <w:proofErr w:type="spellStart"/>
            <w:r w:rsidRPr="007B1040">
              <w:rPr>
                <w:sz w:val="18"/>
              </w:rPr>
              <w:t>Ünv</w:t>
            </w:r>
            <w:proofErr w:type="spellEnd"/>
            <w:r w:rsidRPr="007B1040">
              <w:rPr>
                <w:sz w:val="18"/>
              </w:rPr>
              <w:t xml:space="preserve">. </w:t>
            </w:r>
            <w:proofErr w:type="spellStart"/>
            <w:proofErr w:type="gramStart"/>
            <w:r w:rsidRPr="007B1040">
              <w:rPr>
                <w:sz w:val="18"/>
              </w:rPr>
              <w:t>Tek.Bil</w:t>
            </w:r>
            <w:proofErr w:type="spellEnd"/>
            <w:proofErr w:type="gramEnd"/>
            <w:r w:rsidRPr="007B1040">
              <w:rPr>
                <w:sz w:val="18"/>
              </w:rPr>
              <w:t>. MYO.</w:t>
            </w:r>
          </w:p>
        </w:tc>
        <w:tc>
          <w:tcPr>
            <w:tcW w:w="1276" w:type="dxa"/>
            <w:gridSpan w:val="3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234,75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164,325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72,46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21,738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186,063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Asil Aday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22.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Gülendam ÖZALHAS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Gıda Tek. (İ.Ö)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M.Kemal</w:t>
            </w:r>
            <w:proofErr w:type="spellEnd"/>
            <w:r w:rsidRPr="007B1040">
              <w:rPr>
                <w:sz w:val="18"/>
              </w:rPr>
              <w:t xml:space="preserve"> </w:t>
            </w:r>
            <w:proofErr w:type="spellStart"/>
            <w:r w:rsidRPr="007B1040">
              <w:rPr>
                <w:sz w:val="18"/>
              </w:rPr>
              <w:t>Ünv</w:t>
            </w:r>
            <w:proofErr w:type="spellEnd"/>
            <w:r w:rsidRPr="007B1040">
              <w:rPr>
                <w:sz w:val="18"/>
              </w:rPr>
              <w:t>. Altınözü MYO.</w:t>
            </w:r>
          </w:p>
        </w:tc>
        <w:tc>
          <w:tcPr>
            <w:tcW w:w="1276" w:type="dxa"/>
            <w:gridSpan w:val="3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YGS-2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182,73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127,911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61,26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18,378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146,289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 xml:space="preserve">Hem 2015 girişli hem de </w:t>
            </w:r>
            <w:proofErr w:type="spellStart"/>
            <w:r w:rsidRPr="007B1040">
              <w:rPr>
                <w:b/>
                <w:bCs/>
                <w:sz w:val="18"/>
              </w:rPr>
              <w:t>nor</w:t>
            </w:r>
            <w:proofErr w:type="spellEnd"/>
            <w:r w:rsidRPr="007B1040">
              <w:rPr>
                <w:b/>
                <w:bCs/>
                <w:sz w:val="18"/>
              </w:rPr>
              <w:t xml:space="preserve"> ortalaması 60 altı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23.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İbrahim Halil DEMİR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İnşaat Tek.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M.Kemal</w:t>
            </w:r>
            <w:proofErr w:type="spellEnd"/>
            <w:r w:rsidRPr="007B1040">
              <w:rPr>
                <w:sz w:val="18"/>
              </w:rPr>
              <w:t xml:space="preserve"> </w:t>
            </w:r>
            <w:proofErr w:type="spellStart"/>
            <w:r w:rsidRPr="007B1040">
              <w:rPr>
                <w:sz w:val="18"/>
              </w:rPr>
              <w:t>Ünv</w:t>
            </w:r>
            <w:proofErr w:type="spellEnd"/>
            <w:r w:rsidRPr="007B1040">
              <w:rPr>
                <w:sz w:val="18"/>
              </w:rPr>
              <w:t>. İskenderun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216,91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151,837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17,4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169,237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Not ortalaması 60 altı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24.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İbrahim Halil DEMİR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İnşaat Tek. (İ.Ö.)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M.Kemal</w:t>
            </w:r>
            <w:proofErr w:type="spellEnd"/>
            <w:r w:rsidRPr="007B1040">
              <w:rPr>
                <w:sz w:val="18"/>
              </w:rPr>
              <w:t xml:space="preserve"> </w:t>
            </w:r>
            <w:proofErr w:type="spellStart"/>
            <w:r w:rsidRPr="007B1040">
              <w:rPr>
                <w:sz w:val="18"/>
              </w:rPr>
              <w:t>Ünv</w:t>
            </w:r>
            <w:proofErr w:type="spellEnd"/>
            <w:r w:rsidRPr="007B1040">
              <w:rPr>
                <w:sz w:val="18"/>
              </w:rPr>
              <w:t>. İskenderun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216,91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151,837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17,4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169,237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Not ortalaması 60 altı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lastRenderedPageBreak/>
              <w:t>25.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Emrullah AKGÜL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İnşaat Tek.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r w:rsidRPr="007B1040">
              <w:rPr>
                <w:sz w:val="18"/>
              </w:rPr>
              <w:t>M.Kemal</w:t>
            </w:r>
            <w:proofErr w:type="spellEnd"/>
            <w:r w:rsidRPr="007B1040">
              <w:rPr>
                <w:sz w:val="18"/>
              </w:rPr>
              <w:t xml:space="preserve"> </w:t>
            </w:r>
            <w:proofErr w:type="spellStart"/>
            <w:r w:rsidRPr="007B1040">
              <w:rPr>
                <w:sz w:val="18"/>
              </w:rPr>
              <w:t>Ünv</w:t>
            </w:r>
            <w:proofErr w:type="spellEnd"/>
            <w:r w:rsidRPr="007B1040">
              <w:rPr>
                <w:sz w:val="18"/>
              </w:rPr>
              <w:t>. Antakya MYO.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204,79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143,353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36,76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11,028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154,381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Not ortalaması 60 altı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26.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Ahmet TUĞCU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Harita ve Kadastro </w:t>
            </w:r>
          </w:p>
        </w:tc>
        <w:tc>
          <w:tcPr>
            <w:tcW w:w="3260" w:type="dxa"/>
            <w:gridSpan w:val="4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Gaziosmanpaşa </w:t>
            </w:r>
            <w:proofErr w:type="spellStart"/>
            <w:r w:rsidRPr="007B1040">
              <w:rPr>
                <w:sz w:val="18"/>
              </w:rPr>
              <w:t>Ünv</w:t>
            </w:r>
            <w:proofErr w:type="spellEnd"/>
            <w:r w:rsidRPr="007B1040">
              <w:rPr>
                <w:sz w:val="18"/>
              </w:rPr>
              <w:t>. Tokat T.B. MYO.</w:t>
            </w:r>
          </w:p>
        </w:tc>
        <w:tc>
          <w:tcPr>
            <w:tcW w:w="1276" w:type="dxa"/>
            <w:gridSpan w:val="3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246,61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172,627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19,61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5,883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178,51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Not ortalaması 60 altı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27.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Burhan KAYA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Harita ve Kadastro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proofErr w:type="spellStart"/>
            <w:proofErr w:type="gramStart"/>
            <w:r w:rsidRPr="007B1040">
              <w:rPr>
                <w:sz w:val="18"/>
              </w:rPr>
              <w:t>HRÜ.Fen</w:t>
            </w:r>
            <w:proofErr w:type="spellEnd"/>
            <w:proofErr w:type="gramEnd"/>
            <w:r w:rsidRPr="007B1040">
              <w:rPr>
                <w:sz w:val="18"/>
              </w:rPr>
              <w:t xml:space="preserve"> Edebiyat Fak. Tarih (İ.Ö.)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YGS-1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333,91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233,737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25,36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7,608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241,345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Hem farklı program hem de not ortalaması 60 altı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28.</w:t>
            </w:r>
          </w:p>
        </w:tc>
        <w:tc>
          <w:tcPr>
            <w:tcW w:w="242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Kudret KARADAĞ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Halkla </w:t>
            </w:r>
            <w:proofErr w:type="spellStart"/>
            <w:r w:rsidRPr="007B1040">
              <w:rPr>
                <w:sz w:val="18"/>
              </w:rPr>
              <w:t>İlş</w:t>
            </w:r>
            <w:proofErr w:type="spellEnd"/>
            <w:r w:rsidRPr="007B1040">
              <w:rPr>
                <w:sz w:val="18"/>
              </w:rPr>
              <w:t xml:space="preserve">. Ve </w:t>
            </w:r>
            <w:proofErr w:type="spellStart"/>
            <w:r w:rsidRPr="007B1040">
              <w:rPr>
                <w:sz w:val="18"/>
              </w:rPr>
              <w:t>Tantm</w:t>
            </w:r>
            <w:proofErr w:type="spellEnd"/>
            <w:r w:rsidRPr="007B1040">
              <w:rPr>
                <w:sz w:val="18"/>
              </w:rPr>
              <w:t>.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HRÜ. Birecik </w:t>
            </w:r>
            <w:proofErr w:type="spellStart"/>
            <w:proofErr w:type="gramStart"/>
            <w:r w:rsidRPr="007B1040">
              <w:rPr>
                <w:sz w:val="18"/>
              </w:rPr>
              <w:t>MYO.Ş</w:t>
            </w:r>
            <w:proofErr w:type="gramEnd"/>
            <w:r w:rsidRPr="007B1040">
              <w:rPr>
                <w:sz w:val="18"/>
              </w:rPr>
              <w:t>.Urfa</w:t>
            </w:r>
            <w:proofErr w:type="spellEnd"/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YGS-4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211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147,7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64,62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19,386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167,086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proofErr w:type="gramStart"/>
            <w:r w:rsidRPr="007B1040">
              <w:rPr>
                <w:b/>
                <w:bCs/>
                <w:sz w:val="18"/>
              </w:rPr>
              <w:t>program</w:t>
            </w:r>
            <w:proofErr w:type="gramEnd"/>
            <w:r w:rsidRPr="007B1040">
              <w:rPr>
                <w:b/>
                <w:bCs/>
                <w:sz w:val="18"/>
              </w:rPr>
              <w:t xml:space="preserve"> yok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29.</w:t>
            </w:r>
          </w:p>
        </w:tc>
        <w:tc>
          <w:tcPr>
            <w:tcW w:w="2424" w:type="dxa"/>
            <w:gridSpan w:val="2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3260" w:type="dxa"/>
            <w:gridSpan w:val="4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> </w:t>
            </w:r>
          </w:p>
        </w:tc>
      </w:tr>
      <w:tr w:rsidR="007B1040" w:rsidRPr="007B1040" w:rsidTr="007B1040">
        <w:trPr>
          <w:trHeight w:val="300"/>
        </w:trPr>
        <w:tc>
          <w:tcPr>
            <w:tcW w:w="15984" w:type="dxa"/>
            <w:gridSpan w:val="20"/>
            <w:hideMark/>
          </w:tcPr>
          <w:p w:rsidR="007B1040" w:rsidRPr="007B1040" w:rsidRDefault="007B1040" w:rsidP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>Not:</w:t>
            </w:r>
          </w:p>
        </w:tc>
      </w:tr>
      <w:tr w:rsidR="007B1040" w:rsidRPr="007B1040" w:rsidTr="007B1040">
        <w:trPr>
          <w:trHeight w:val="915"/>
        </w:trPr>
        <w:tc>
          <w:tcPr>
            <w:tcW w:w="15984" w:type="dxa"/>
            <w:gridSpan w:val="20"/>
            <w:hideMark/>
          </w:tcPr>
          <w:p w:rsidR="007B1040" w:rsidRPr="007B1040" w:rsidRDefault="007B1040" w:rsidP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        </w:t>
            </w:r>
            <w:proofErr w:type="gramStart"/>
            <w:r w:rsidRPr="007B1040">
              <w:rPr>
                <w:b/>
                <w:bCs/>
                <w:sz w:val="18"/>
              </w:rPr>
              <w:t>1-</w:t>
            </w:r>
            <w:r w:rsidRPr="007B1040">
              <w:rPr>
                <w:sz w:val="18"/>
              </w:rPr>
              <w:t xml:space="preserve"> Üniversitemiz Meslek Yüksekokullarına 2016-2017 Eğitim-Öğretim yılı Bahar döneminde yatay geçiş yoluyla kabul edilecek öğrencilerin başvuru, kabul ve koşullarında, “Yükseköğretim Kurumlarında Ön lisans ve Lisans Düzeyindeki Programlar Arasında Geçiş, Çift </w:t>
            </w:r>
            <w:proofErr w:type="spellStart"/>
            <w:r w:rsidRPr="007B1040">
              <w:rPr>
                <w:sz w:val="18"/>
              </w:rPr>
              <w:t>Anadal</w:t>
            </w:r>
            <w:proofErr w:type="spellEnd"/>
            <w:r w:rsidRPr="007B1040">
              <w:rPr>
                <w:sz w:val="18"/>
              </w:rPr>
              <w:t>, Yan Dal ile Kurumlar Arası Kredi Transferi Yapılması Esaslarına İlişkin Yönetmenlik" ile "Harran Üniversitesi Ön lisans ve Lisans Düzeyindeki Programlar Arasında Yatay Geçiş Esaslarına İlişkin Yönerge "(http://ogrenci.harran.edu.tr/</w:t>
            </w:r>
            <w:proofErr w:type="spellStart"/>
            <w:r w:rsidRPr="007B1040">
              <w:rPr>
                <w:sz w:val="18"/>
              </w:rPr>
              <w:t>files</w:t>
            </w:r>
            <w:proofErr w:type="spellEnd"/>
            <w:r w:rsidRPr="007B1040">
              <w:rPr>
                <w:sz w:val="18"/>
              </w:rPr>
              <w:t xml:space="preserve">/yataygeçiş.docx) hükümleri uygulanır.   </w:t>
            </w:r>
            <w:proofErr w:type="gramEnd"/>
          </w:p>
        </w:tc>
      </w:tr>
      <w:tr w:rsidR="007B1040" w:rsidRPr="007B1040" w:rsidTr="007B1040">
        <w:trPr>
          <w:trHeight w:val="300"/>
        </w:trPr>
        <w:tc>
          <w:tcPr>
            <w:tcW w:w="15984" w:type="dxa"/>
            <w:gridSpan w:val="20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7B1040" w:rsidRPr="007B1040" w:rsidTr="007B1040">
        <w:trPr>
          <w:trHeight w:val="300"/>
        </w:trPr>
        <w:tc>
          <w:tcPr>
            <w:tcW w:w="15984" w:type="dxa"/>
            <w:gridSpan w:val="20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        </w:t>
            </w:r>
            <w:r w:rsidRPr="007B1040">
              <w:rPr>
                <w:b/>
                <w:bCs/>
                <w:sz w:val="18"/>
              </w:rPr>
              <w:t>2-</w:t>
            </w:r>
            <w:r w:rsidRPr="007B1040">
              <w:rPr>
                <w:sz w:val="18"/>
              </w:rPr>
              <w:t xml:space="preserve">   a</w:t>
            </w:r>
            <w:proofErr w:type="gramStart"/>
            <w:r w:rsidRPr="007B1040">
              <w:rPr>
                <w:sz w:val="18"/>
              </w:rPr>
              <w:t>)</w:t>
            </w:r>
            <w:proofErr w:type="gramEnd"/>
            <w:r w:rsidRPr="007B1040">
              <w:rPr>
                <w:sz w:val="18"/>
              </w:rPr>
              <w:t xml:space="preserve"> Kayıtların%50 si sınavsız kontenjan uygulanır</w:t>
            </w:r>
          </w:p>
        </w:tc>
      </w:tr>
      <w:tr w:rsidR="007B1040" w:rsidRPr="007B1040" w:rsidTr="007B1040">
        <w:trPr>
          <w:trHeight w:val="300"/>
        </w:trPr>
        <w:tc>
          <w:tcPr>
            <w:tcW w:w="15984" w:type="dxa"/>
            <w:gridSpan w:val="20"/>
            <w:hideMark/>
          </w:tcPr>
          <w:p w:rsidR="007B1040" w:rsidRPr="007B1040" w:rsidRDefault="007B1040">
            <w:pPr>
              <w:rPr>
                <w:sz w:val="18"/>
              </w:rPr>
            </w:pPr>
            <w:r w:rsidRPr="007B1040">
              <w:rPr>
                <w:sz w:val="18"/>
              </w:rPr>
              <w:t xml:space="preserve">            b) Kayıtların %50 si sınavlı kontenjan uygulanır.</w:t>
            </w:r>
          </w:p>
        </w:tc>
      </w:tr>
      <w:tr w:rsidR="007B1040" w:rsidRPr="007B1040" w:rsidTr="007B1040">
        <w:trPr>
          <w:trHeight w:val="300"/>
        </w:trPr>
        <w:tc>
          <w:tcPr>
            <w:tcW w:w="15984" w:type="dxa"/>
            <w:gridSpan w:val="20"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</w:tr>
      <w:tr w:rsidR="007B1040" w:rsidRPr="007B1040" w:rsidTr="007B1040">
        <w:trPr>
          <w:trHeight w:val="300"/>
        </w:trPr>
        <w:tc>
          <w:tcPr>
            <w:tcW w:w="15984" w:type="dxa"/>
            <w:gridSpan w:val="20"/>
            <w:hideMark/>
          </w:tcPr>
          <w:p w:rsidR="007B1040" w:rsidRPr="007B1040" w:rsidRDefault="007B1040">
            <w:pPr>
              <w:rPr>
                <w:b/>
                <w:bCs/>
                <w:sz w:val="18"/>
              </w:rPr>
            </w:pPr>
            <w:r w:rsidRPr="007B1040">
              <w:rPr>
                <w:b/>
                <w:bCs/>
                <w:sz w:val="18"/>
              </w:rPr>
              <w:t xml:space="preserve">        3-</w:t>
            </w:r>
            <w:r w:rsidRPr="007B1040">
              <w:rPr>
                <w:sz w:val="18"/>
              </w:rPr>
              <w:t xml:space="preserve">   Transkriptte yüzlük not olmayan öğrencilerin not dönüşümü yükseköğretim kurulu not dönüşüm tablosu kullanılarak oluşturulmuştur.</w:t>
            </w: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1296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1587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801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1096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949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756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81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761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5555" w:type="dxa"/>
            <w:gridSpan w:val="5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</w:tr>
      <w:tr w:rsidR="007B1040" w:rsidRPr="007B1040" w:rsidTr="007B1040">
        <w:trPr>
          <w:trHeight w:val="300"/>
        </w:trPr>
        <w:tc>
          <w:tcPr>
            <w:tcW w:w="519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1296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1587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801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1096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949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756" w:type="dxa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814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761" w:type="dxa"/>
            <w:gridSpan w:val="2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  <w:tc>
          <w:tcPr>
            <w:tcW w:w="5555" w:type="dxa"/>
            <w:gridSpan w:val="5"/>
            <w:noWrap/>
            <w:hideMark/>
          </w:tcPr>
          <w:p w:rsidR="007B1040" w:rsidRPr="007B1040" w:rsidRDefault="007B1040">
            <w:pPr>
              <w:rPr>
                <w:sz w:val="18"/>
              </w:rPr>
            </w:pPr>
          </w:p>
        </w:tc>
      </w:tr>
    </w:tbl>
    <w:p w:rsidR="00F37029" w:rsidRDefault="00F37029"/>
    <w:sectPr w:rsidR="00F37029" w:rsidSect="007B104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5"/>
    <w:rsid w:val="00486705"/>
    <w:rsid w:val="007B1040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3959</Characters>
  <Application>Microsoft Office Word</Application>
  <DocSecurity>0</DocSecurity>
  <Lines>32</Lines>
  <Paragraphs>9</Paragraphs>
  <ScaleCrop>false</ScaleCrop>
  <Company>By NeC ® 2010 | Katilimsiz.Com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</dc:creator>
  <cp:keywords/>
  <dc:description/>
  <cp:lastModifiedBy>myo</cp:lastModifiedBy>
  <cp:revision>2</cp:revision>
  <dcterms:created xsi:type="dcterms:W3CDTF">2017-09-12T10:42:00Z</dcterms:created>
  <dcterms:modified xsi:type="dcterms:W3CDTF">2017-09-12T10:50:00Z</dcterms:modified>
</cp:coreProperties>
</file>